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B0" w:rsidRPr="0030133E" w:rsidRDefault="00532BB0" w:rsidP="00532BB0">
      <w:pPr>
        <w:rPr>
          <w:sz w:val="32"/>
          <w:szCs w:val="32"/>
        </w:rPr>
      </w:pPr>
      <w:r w:rsidRPr="00532BB0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7800340</wp:posOffset>
                </wp:positionH>
                <wp:positionV relativeFrom="paragraph">
                  <wp:posOffset>-128905</wp:posOffset>
                </wp:positionV>
                <wp:extent cx="2873375" cy="516255"/>
                <wp:effectExtent l="0" t="0" r="2222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53" w:rsidRDefault="00B762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4.2pt;margin-top:-10.15pt;width:226.25pt;height: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">
                <v:textbox>
                  <w:txbxContent>
                    <w:p w:rsidR="00B76253" w:rsidRDefault="00B76253"/>
                  </w:txbxContent>
                </v:textbox>
                <w10:wrap type="square" anchorx="page"/>
              </v:shape>
            </w:pict>
          </mc:Fallback>
        </mc:AlternateContent>
      </w:r>
      <w:r w:rsidRPr="0030133E">
        <w:rPr>
          <w:sz w:val="32"/>
          <w:szCs w:val="32"/>
        </w:rPr>
        <w:t>LE D</w:t>
      </w:r>
      <w:r w:rsidRPr="0030133E">
        <w:rPr>
          <w:rFonts w:cstheme="minorHAnsi"/>
          <w:sz w:val="32"/>
          <w:szCs w:val="32"/>
        </w:rPr>
        <w:t>É</w:t>
      </w:r>
      <w:r w:rsidRPr="0030133E">
        <w:rPr>
          <w:sz w:val="32"/>
          <w:szCs w:val="32"/>
        </w:rPr>
        <w:t>P</w:t>
      </w:r>
      <w:r w:rsidRPr="0030133E">
        <w:rPr>
          <w:rFonts w:cstheme="minorHAnsi"/>
          <w:sz w:val="32"/>
          <w:szCs w:val="32"/>
        </w:rPr>
        <w:t>Ô</w:t>
      </w:r>
      <w:r w:rsidRPr="0030133E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30133E">
        <w:rPr>
          <w:sz w:val="32"/>
          <w:szCs w:val="32"/>
        </w:rPr>
        <w:t>DE LA TH</w:t>
      </w:r>
      <w:r w:rsidRPr="0030133E">
        <w:rPr>
          <w:rFonts w:cstheme="minorHAnsi"/>
          <w:sz w:val="32"/>
          <w:szCs w:val="32"/>
        </w:rPr>
        <w:t>È</w:t>
      </w:r>
      <w:r w:rsidRPr="0030133E">
        <w:rPr>
          <w:sz w:val="32"/>
          <w:szCs w:val="32"/>
        </w:rPr>
        <w:t>SE</w:t>
      </w:r>
    </w:p>
    <w:p w:rsidR="00532BB0" w:rsidRDefault="00532BB0" w:rsidP="00532BB0">
      <w:r>
        <w:t>Le doctorat, préparé à</w:t>
      </w:r>
      <w:r w:rsidR="00341A88">
        <w:t xml:space="preserve"> l’INSA Rouen Normandie</w:t>
      </w:r>
      <w:r>
        <w:t>, est délivré par Normandie Université. L’</w:t>
      </w:r>
      <w:hyperlink r:id="rId5" w:history="1">
        <w:r w:rsidR="007A3ECB">
          <w:rPr>
            <w:rStyle w:val="Lienhypertexte"/>
          </w:rPr>
          <w:t>arrêté du 26 mai 2016</w:t>
        </w:r>
      </w:hyperlink>
      <w:r w:rsidR="00341A88">
        <w:t xml:space="preserve"> </w:t>
      </w:r>
      <w:r>
        <w:t xml:space="preserve">a rendu obligatoire le dépôt légal des thèses sous forme électronique. Afin de faciliter la procédure de dépôt, un outil spécifique a été développé et mis en place en Normandie : </w:t>
      </w:r>
      <w:hyperlink r:id="rId6" w:history="1">
        <w:proofErr w:type="spellStart"/>
        <w:r w:rsidRPr="00532BB0">
          <w:rPr>
            <w:rStyle w:val="Lienhypertexte"/>
          </w:rPr>
          <w:t>SyG</w:t>
        </w:r>
        <w:r w:rsidRPr="00532BB0">
          <w:rPr>
            <w:rStyle w:val="Lienhypertexte"/>
          </w:rPr>
          <w:t>AL</w:t>
        </w:r>
        <w:proofErr w:type="spellEnd"/>
      </w:hyperlink>
      <w:r>
        <w:t xml:space="preserve"> (Système de Gestion et d’Accompagnement </w:t>
      </w:r>
      <w:proofErr w:type="spellStart"/>
      <w:r>
        <w:t>doctoraL</w:t>
      </w:r>
      <w:proofErr w:type="spellEnd"/>
      <w:r>
        <w:t>). La Charte de dépôt et de diffusion des thèses adoptée par Normandie Université au 1</w:t>
      </w:r>
      <w:r w:rsidRPr="005B765D">
        <w:rPr>
          <w:vertAlign w:val="superscript"/>
        </w:rPr>
        <w:t>er</w:t>
      </w:r>
      <w:r>
        <w:t xml:space="preserve"> janvier 2017, précise les modalités de cette procédure.</w:t>
      </w:r>
    </w:p>
    <w:p w:rsidR="00D47C7D" w:rsidRDefault="00D47C7D" w:rsidP="00532BB0">
      <w:pPr>
        <w:ind w:right="-7795"/>
      </w:pPr>
    </w:p>
    <w:p w:rsidR="00532BB0" w:rsidRPr="0030133E" w:rsidRDefault="00532BB0" w:rsidP="00532BB0">
      <w:pPr>
        <w:rPr>
          <w:b/>
          <w:sz w:val="24"/>
          <w:szCs w:val="24"/>
        </w:rPr>
      </w:pPr>
      <w:r w:rsidRPr="0030133E">
        <w:rPr>
          <w:b/>
          <w:sz w:val="24"/>
          <w:szCs w:val="24"/>
        </w:rPr>
        <w:t>Le dépôt avant soutenance</w:t>
      </w:r>
    </w:p>
    <w:p w:rsidR="00532BB0" w:rsidRDefault="00C94B0B" w:rsidP="00532BB0">
      <w:r>
        <w:t>U</w:t>
      </w:r>
      <w:r w:rsidR="00532BB0">
        <w:t>n mois</w:t>
      </w:r>
      <w:r>
        <w:t xml:space="preserve"> </w:t>
      </w:r>
      <w:r w:rsidRPr="00FD61E9">
        <w:t>au plus tard </w:t>
      </w:r>
      <w:r w:rsidR="00532BB0">
        <w:t xml:space="preserve">avant la date de la soutenance, le doctorant doit se connecter à </w:t>
      </w:r>
      <w:hyperlink r:id="rId7" w:history="1">
        <w:proofErr w:type="spellStart"/>
        <w:r w:rsidR="00532BB0" w:rsidRPr="00532BB0">
          <w:rPr>
            <w:rStyle w:val="Lienhypertexte"/>
          </w:rPr>
          <w:t>SyGAL</w:t>
        </w:r>
        <w:proofErr w:type="spellEnd"/>
      </w:hyperlink>
      <w:r w:rsidR="00532BB0">
        <w:t xml:space="preserve"> afin de déposer son fichier de thèse qui doit être identique à celui fourni au jury. Ce dépôt est obligatoire et conditionne l'autorisation de soutenance délivrée par le chef d’établissement.</w:t>
      </w:r>
    </w:p>
    <w:p w:rsidR="00532BB0" w:rsidRPr="0030133E" w:rsidRDefault="00532BB0" w:rsidP="00532BB0">
      <w:pPr>
        <w:rPr>
          <w:color w:val="2E74B5" w:themeColor="accent1" w:themeShade="BF"/>
        </w:rPr>
      </w:pPr>
      <w:r w:rsidRPr="0030133E">
        <w:rPr>
          <w:color w:val="2E74B5" w:themeColor="accent1" w:themeShade="BF"/>
        </w:rPr>
        <w:t>La feuille de route</w:t>
      </w:r>
    </w:p>
    <w:p w:rsidR="00532BB0" w:rsidRDefault="00532BB0" w:rsidP="00532BB0">
      <w:proofErr w:type="spellStart"/>
      <w:r>
        <w:t>SyGAL</w:t>
      </w:r>
      <w:proofErr w:type="spellEnd"/>
      <w:r>
        <w:t xml:space="preserve"> guide les doctorants à travers plusieurs étapes </w:t>
      </w:r>
      <w:r w:rsidR="001353A3" w:rsidRPr="00FD61E9">
        <w:t>obligatoires</w:t>
      </w:r>
      <w:r w:rsidR="001353A3">
        <w:t xml:space="preserve"> pour valider l</w:t>
      </w:r>
      <w:r>
        <w:t>e dépôt :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>
        <w:rPr>
          <w:b/>
        </w:rPr>
        <w:t>V</w:t>
      </w:r>
      <w:r w:rsidR="00532BB0">
        <w:rPr>
          <w:b/>
        </w:rPr>
        <w:t>alidation de</w:t>
      </w:r>
      <w:r w:rsidR="00532BB0" w:rsidRPr="003D2C10">
        <w:rPr>
          <w:b/>
        </w:rPr>
        <w:t xml:space="preserve"> la page de couverture</w:t>
      </w:r>
      <w:r w:rsidR="00532BB0">
        <w:t xml:space="preserve">. Cette page de couverture est générée automatiquement suivant les informations </w:t>
      </w:r>
      <w:r>
        <w:t xml:space="preserve">que vous avez </w:t>
      </w:r>
      <w:r w:rsidR="00532BB0">
        <w:t>transmises à</w:t>
      </w:r>
      <w:r w:rsidR="001353A3">
        <w:t xml:space="preserve"> </w:t>
      </w:r>
      <w:r w:rsidR="00532BB0">
        <w:t xml:space="preserve">votre </w:t>
      </w:r>
      <w:r w:rsidR="00532BB0">
        <w:rPr>
          <w:rFonts w:cstheme="minorHAnsi"/>
        </w:rPr>
        <w:t>É</w:t>
      </w:r>
      <w:r w:rsidR="00532BB0">
        <w:t>cole doctorale. Elle va s’insérer à votre manuscrit de thèse.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 w:rsidRPr="00FD61E9">
        <w:rPr>
          <w:b/>
        </w:rPr>
        <w:t>D</w:t>
      </w:r>
      <w:r w:rsidR="00532BB0">
        <w:rPr>
          <w:b/>
        </w:rPr>
        <w:t>épôt</w:t>
      </w:r>
      <w:r w:rsidR="00532BB0" w:rsidRPr="003D2C10">
        <w:rPr>
          <w:b/>
        </w:rPr>
        <w:t xml:space="preserve"> de la thèse</w:t>
      </w:r>
      <w:r w:rsidR="00532BB0">
        <w:rPr>
          <w:b/>
        </w:rPr>
        <w:t xml:space="preserve"> de référence</w:t>
      </w:r>
      <w:r w:rsidR="00532BB0" w:rsidRPr="003D2C10">
        <w:rPr>
          <w:b/>
        </w:rPr>
        <w:t xml:space="preserve"> au format PDF</w:t>
      </w:r>
      <w:r w:rsidR="00532BB0">
        <w:t xml:space="preserve">. </w:t>
      </w:r>
      <w:proofErr w:type="spellStart"/>
      <w:r w:rsidR="00532BB0">
        <w:t>SyGAL</w:t>
      </w:r>
      <w:proofErr w:type="spellEnd"/>
      <w:r w:rsidR="00532BB0">
        <w:t xml:space="preserve"> vous permet également de déposer des pièces annexes dans d’autres formats.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 w:rsidRPr="00FD61E9">
        <w:rPr>
          <w:rFonts w:cstheme="minorHAnsi"/>
          <w:b/>
        </w:rPr>
        <w:t>É</w:t>
      </w:r>
      <w:r w:rsidR="00532BB0">
        <w:rPr>
          <w:b/>
        </w:rPr>
        <w:t>dition de la c</w:t>
      </w:r>
      <w:r w:rsidR="00532BB0" w:rsidRPr="003722E9">
        <w:rPr>
          <w:b/>
        </w:rPr>
        <w:t>onvention de mise en ligne</w:t>
      </w:r>
      <w:r w:rsidR="00532BB0">
        <w:t>. Le doctorant indique son choix pour la diffusion en ligne. Ce document est ensuite imprimé en deux exemplaires</w:t>
      </w:r>
      <w:r w:rsidR="00EE25F2">
        <w:t xml:space="preserve"> qui seront à signer et à remettre lors du Rendez-vous BU</w:t>
      </w:r>
      <w:r w:rsidR="00532BB0">
        <w:t>.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>
        <w:rPr>
          <w:b/>
        </w:rPr>
        <w:t>S</w:t>
      </w:r>
      <w:r w:rsidR="00532BB0" w:rsidRPr="003D2C10">
        <w:rPr>
          <w:b/>
        </w:rPr>
        <w:t>ignalement de la thèse</w:t>
      </w:r>
      <w:r w:rsidR="00532BB0">
        <w:t>. Le doctorant</w:t>
      </w:r>
      <w:r w:rsidR="00532BB0" w:rsidRPr="00FD61E9">
        <w:t xml:space="preserve"> </w:t>
      </w:r>
      <w:r w:rsidR="001353A3" w:rsidRPr="00FD61E9">
        <w:t>saisit</w:t>
      </w:r>
      <w:r w:rsidR="00532BB0" w:rsidRPr="00FD61E9">
        <w:t xml:space="preserve"> </w:t>
      </w:r>
      <w:r w:rsidR="00532BB0">
        <w:t>le résumé et les mots-clés (</w:t>
      </w:r>
      <w:r w:rsidR="001353A3" w:rsidRPr="00FD61E9">
        <w:t xml:space="preserve">en français et en </w:t>
      </w:r>
      <w:r w:rsidR="00532BB0" w:rsidRPr="00FD61E9">
        <w:t>anglais</w:t>
      </w:r>
      <w:r w:rsidR="00532BB0">
        <w:t>).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>
        <w:rPr>
          <w:b/>
        </w:rPr>
        <w:t>T</w:t>
      </w:r>
      <w:r w:rsidR="0021649D">
        <w:rPr>
          <w:b/>
        </w:rPr>
        <w:t>est</w:t>
      </w:r>
      <w:r w:rsidR="00532BB0" w:rsidRPr="003D2C10">
        <w:rPr>
          <w:b/>
        </w:rPr>
        <w:t xml:space="preserve"> de l’</w:t>
      </w:r>
      <w:proofErr w:type="spellStart"/>
      <w:r w:rsidR="00532BB0" w:rsidRPr="003D2C10">
        <w:rPr>
          <w:b/>
        </w:rPr>
        <w:t>archivabilité</w:t>
      </w:r>
      <w:proofErr w:type="spellEnd"/>
      <w:r w:rsidR="00532BB0">
        <w:t xml:space="preserve"> : toutes les thèses sont transmises au CINES (Centre Informatique National de l’Enseignement Supérieur) pour archivage pérenne. Pour tester le format du PDF déposé, </w:t>
      </w:r>
      <w:proofErr w:type="spellStart"/>
      <w:r w:rsidR="00532BB0">
        <w:t>SyGAL</w:t>
      </w:r>
      <w:proofErr w:type="spellEnd"/>
      <w:r w:rsidR="00532BB0">
        <w:t xml:space="preserve"> intègre l’application </w:t>
      </w:r>
      <w:r w:rsidR="00532BB0" w:rsidRPr="003722E9">
        <w:rPr>
          <w:i/>
        </w:rPr>
        <w:t>Facile</w:t>
      </w:r>
      <w:r w:rsidR="00532BB0">
        <w:t xml:space="preserve"> fournie par le CINES. Si le PDF est refusé, vous pouvez</w:t>
      </w:r>
      <w:r>
        <w:t xml:space="preserve"> </w:t>
      </w:r>
      <w:r w:rsidRPr="00FD61E9">
        <w:t xml:space="preserve">actionner </w:t>
      </w:r>
      <w:r w:rsidR="001353A3" w:rsidRPr="00FD61E9">
        <w:t xml:space="preserve">un </w:t>
      </w:r>
      <w:r w:rsidR="00532BB0" w:rsidRPr="00FD61E9">
        <w:t xml:space="preserve">retraitement automatique </w:t>
      </w:r>
      <w:r w:rsidR="001353A3" w:rsidRPr="00FD61E9">
        <w:t xml:space="preserve">et </w:t>
      </w:r>
      <w:r w:rsidR="00532BB0" w:rsidRPr="00FD61E9">
        <w:t xml:space="preserve">vérifier </w:t>
      </w:r>
      <w:r w:rsidR="00532BB0">
        <w:t>le résultat.</w:t>
      </w:r>
    </w:p>
    <w:p w:rsidR="00532BB0" w:rsidRDefault="00FD61E9" w:rsidP="00532BB0">
      <w:pPr>
        <w:pStyle w:val="Paragraphedeliste"/>
        <w:numPr>
          <w:ilvl w:val="0"/>
          <w:numId w:val="1"/>
        </w:numPr>
      </w:pPr>
      <w:r>
        <w:rPr>
          <w:b/>
        </w:rPr>
        <w:t>R</w:t>
      </w:r>
      <w:r w:rsidR="00532BB0" w:rsidRPr="003D2C10">
        <w:rPr>
          <w:b/>
        </w:rPr>
        <w:t>endez-vous BU</w:t>
      </w:r>
      <w:r w:rsidR="00532BB0">
        <w:t xml:space="preserve"> : vous devez enfin indiquer vos contacts pour le rendez-vous avec un bibliothécaire. Ce moment est important </w:t>
      </w:r>
      <w:r w:rsidR="00532BB0" w:rsidRPr="00FD61E9">
        <w:t xml:space="preserve">pour vérifier les différents éléments demandés dans </w:t>
      </w:r>
      <w:proofErr w:type="spellStart"/>
      <w:r w:rsidR="00532BB0" w:rsidRPr="00FD61E9">
        <w:t>SyGAL</w:t>
      </w:r>
      <w:proofErr w:type="spellEnd"/>
      <w:r w:rsidR="00532BB0" w:rsidRPr="00FD61E9">
        <w:t xml:space="preserve"> et pour la remise des différents documents. </w:t>
      </w:r>
      <w:r w:rsidR="001353A3" w:rsidRPr="00FD61E9">
        <w:t>Il peut se faire à distance.</w:t>
      </w:r>
    </w:p>
    <w:p w:rsidR="00532BB0" w:rsidRDefault="00532BB0" w:rsidP="00532BB0"/>
    <w:p w:rsidR="00532BB0" w:rsidRDefault="00532BB0" w:rsidP="00532BB0">
      <w:pPr>
        <w:rPr>
          <w:b/>
          <w:sz w:val="24"/>
          <w:szCs w:val="24"/>
        </w:rPr>
      </w:pPr>
      <w:r w:rsidRPr="0030133E">
        <w:rPr>
          <w:b/>
          <w:sz w:val="24"/>
          <w:szCs w:val="24"/>
        </w:rPr>
        <w:lastRenderedPageBreak/>
        <w:t xml:space="preserve">Le dépôt </w:t>
      </w:r>
      <w:r>
        <w:rPr>
          <w:b/>
          <w:sz w:val="24"/>
          <w:szCs w:val="24"/>
        </w:rPr>
        <w:t xml:space="preserve">après la </w:t>
      </w:r>
      <w:r w:rsidRPr="0030133E">
        <w:rPr>
          <w:b/>
          <w:sz w:val="24"/>
          <w:szCs w:val="24"/>
        </w:rPr>
        <w:t>soutenance</w:t>
      </w:r>
    </w:p>
    <w:p w:rsidR="00532BB0" w:rsidRPr="00EE25F2" w:rsidRDefault="00532BB0" w:rsidP="00532BB0">
      <w:r w:rsidRPr="00EE25F2">
        <w:t xml:space="preserve">Si des modifications ont été demandées par le jury lors de la soutenance – et uniquement dans ce cas –, le doctorant pourra effectuer un second dépôt dans </w:t>
      </w:r>
      <w:proofErr w:type="spellStart"/>
      <w:r w:rsidRPr="00EE25F2">
        <w:t>SyGAL</w:t>
      </w:r>
      <w:proofErr w:type="spellEnd"/>
      <w:r w:rsidRPr="00EE25F2">
        <w:t xml:space="preserve">. Le délai pour ce second dépôt est d’un mois si les corrections demandées sont facultatives et de trois mois maximum si elles sont obligatoires après la date de soutenance. </w:t>
      </w:r>
    </w:p>
    <w:p w:rsidR="00532BB0" w:rsidRDefault="00532BB0" w:rsidP="00532BB0"/>
    <w:p w:rsidR="00532BB0" w:rsidRPr="00013EB7" w:rsidRDefault="00532BB0" w:rsidP="00532BB0">
      <w:pPr>
        <w:rPr>
          <w:b/>
          <w:sz w:val="24"/>
          <w:szCs w:val="24"/>
        </w:rPr>
      </w:pPr>
      <w:r w:rsidRPr="00013EB7">
        <w:rPr>
          <w:b/>
          <w:sz w:val="24"/>
          <w:szCs w:val="24"/>
        </w:rPr>
        <w:t>La diffusion en ligne</w:t>
      </w:r>
    </w:p>
    <w:p w:rsidR="00273BFB" w:rsidRDefault="00532BB0" w:rsidP="00273BFB">
      <w:r>
        <w:t>Dans le cadre de sa politique en faveur de l’</w:t>
      </w:r>
      <w:r w:rsidRPr="00B0091A">
        <w:rPr>
          <w:i/>
        </w:rPr>
        <w:t xml:space="preserve">open access </w:t>
      </w:r>
      <w:r>
        <w:t>et de la Science ouverte, Normandie Université encourage les doctorants à autoriser la mise en ligne immédiate de leur thèse</w:t>
      </w:r>
      <w:r w:rsidR="00C3576C">
        <w:t xml:space="preserve">. </w:t>
      </w:r>
      <w:r>
        <w:t xml:space="preserve">Dans ce cas, </w:t>
      </w:r>
      <w:r w:rsidR="00273BFB">
        <w:t>après la soutenance, la thèse est signalée et disponible à partir :</w:t>
      </w:r>
    </w:p>
    <w:p w:rsidR="00273BFB" w:rsidRDefault="00273BFB" w:rsidP="00273BFB">
      <w:pPr>
        <w:pStyle w:val="Paragraphedeliste"/>
        <w:numPr>
          <w:ilvl w:val="0"/>
          <w:numId w:val="1"/>
        </w:numPr>
      </w:pPr>
      <w:proofErr w:type="gramStart"/>
      <w:r>
        <w:t>du</w:t>
      </w:r>
      <w:proofErr w:type="gramEnd"/>
      <w:r>
        <w:t xml:space="preserve"> </w:t>
      </w:r>
      <w:hyperlink r:id="rId8" w:history="1">
        <w:r>
          <w:rPr>
            <w:rStyle w:val="Lienhypertexte"/>
          </w:rPr>
          <w:t>catalogue de la bibliothèque</w:t>
        </w:r>
      </w:hyperlink>
    </w:p>
    <w:p w:rsidR="00273BFB" w:rsidRDefault="00273BFB" w:rsidP="00273BF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du</w:t>
      </w:r>
      <w:proofErr w:type="gramEnd"/>
      <w:r>
        <w:t xml:space="preserve"> </w:t>
      </w:r>
      <w:hyperlink r:id="rId9" w:tooltip="catalogue collectif sudoc (nouvelle fenêtre)" w:history="1">
        <w:r>
          <w:rPr>
            <w:rStyle w:val="Lienhypertexte"/>
          </w:rPr>
          <w:t xml:space="preserve">catalogue collectif </w:t>
        </w:r>
        <w:proofErr w:type="spellStart"/>
        <w:r>
          <w:rPr>
            <w:rStyle w:val="Lienhypertexte"/>
          </w:rPr>
          <w:t>Sudoc</w:t>
        </w:r>
        <w:proofErr w:type="spellEnd"/>
      </w:hyperlink>
    </w:p>
    <w:p w:rsidR="00273BFB" w:rsidRDefault="00273BFB" w:rsidP="00273BF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du</w:t>
      </w:r>
      <w:proofErr w:type="gramEnd"/>
      <w:r>
        <w:t xml:space="preserve"> moteur de recherche </w:t>
      </w:r>
      <w:hyperlink r:id="rId10" w:tooltip="theses.fr (nouvelle fenêtre)" w:history="1">
        <w:r>
          <w:rPr>
            <w:rStyle w:val="Lienhypertexte"/>
          </w:rPr>
          <w:t>theses.fr</w:t>
        </w:r>
      </w:hyperlink>
    </w:p>
    <w:p w:rsidR="00273BFB" w:rsidRDefault="00273BFB" w:rsidP="00273BF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de</w:t>
      </w:r>
      <w:proofErr w:type="gramEnd"/>
      <w:r>
        <w:t xml:space="preserve"> la plate-forme de diffusion HAL des thèses TEL : </w:t>
      </w:r>
      <w:hyperlink r:id="rId11" w:tooltip="thèses-en-ligne (nouvelle fenêtre)" w:history="1">
        <w:r>
          <w:rPr>
            <w:rStyle w:val="Lienhypertexte"/>
          </w:rPr>
          <w:t>Thèses-En-Ligne</w:t>
        </w:r>
      </w:hyperlink>
    </w:p>
    <w:p w:rsidR="00273BFB" w:rsidRDefault="00273BFB" w:rsidP="00273BF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 la </w:t>
      </w:r>
      <w:hyperlink r:id="rId12" w:tooltip="collection thèses-normandie du portail hal de normandie université (nouvelle fenêtre)" w:history="1">
        <w:r>
          <w:rPr>
            <w:rStyle w:val="Lienhypertexte"/>
          </w:rPr>
          <w:t>collection Thèses-Normandie du port</w:t>
        </w:r>
        <w:r>
          <w:rPr>
            <w:rStyle w:val="Lienhypertexte"/>
          </w:rPr>
          <w:t>ail HAL de Normandie Université</w:t>
        </w:r>
      </w:hyperlink>
    </w:p>
    <w:p w:rsidR="00273BFB" w:rsidRDefault="00273BFB" w:rsidP="00273BFB">
      <w:r>
        <w:br/>
        <w:t xml:space="preserve">En cas de clause de </w:t>
      </w:r>
      <w:r>
        <w:rPr>
          <w:rStyle w:val="lev"/>
        </w:rPr>
        <w:t>confidentialité</w:t>
      </w:r>
      <w:r>
        <w:t xml:space="preserve">, la thèse n’est pas diffusée ni en papier ni en électronique, le dépôt de la </w:t>
      </w:r>
      <w:r>
        <w:rPr>
          <w:rStyle w:val="lev"/>
        </w:rPr>
        <w:t>thèse dans son entier</w:t>
      </w:r>
      <w:r>
        <w:t xml:space="preserve"> reste </w:t>
      </w:r>
      <w:r>
        <w:rPr>
          <w:rStyle w:val="lev"/>
        </w:rPr>
        <w:t xml:space="preserve">obligatoire </w:t>
      </w:r>
      <w:r>
        <w:t>pour archivage national au CINES (non accessible sur Internet).</w:t>
      </w:r>
    </w:p>
    <w:p w:rsidR="00532BB0" w:rsidRPr="00FD61E9" w:rsidRDefault="00532BB0" w:rsidP="00532BB0">
      <w:r>
        <w:t>Le doctorant peut cependant refuser la mise en ligne ou demander un embargo – c’est-à-dire un délai durant lequel la thèse</w:t>
      </w:r>
      <w:r w:rsidR="001353A3" w:rsidRPr="00FD61E9">
        <w:t xml:space="preserve"> ne </w:t>
      </w:r>
      <w:proofErr w:type="gramStart"/>
      <w:r w:rsidR="001353A3" w:rsidRPr="00FD61E9">
        <w:t>sera</w:t>
      </w:r>
      <w:proofErr w:type="gramEnd"/>
      <w:r w:rsidR="001353A3" w:rsidRPr="00FD61E9">
        <w:t xml:space="preserve"> diffusée qu’au sein </w:t>
      </w:r>
      <w:r w:rsidR="00C94B0B" w:rsidRPr="00FD61E9">
        <w:t>de la communauté universitaire</w:t>
      </w:r>
      <w:r w:rsidRPr="00FD61E9">
        <w:t xml:space="preserve">. </w:t>
      </w:r>
      <w:r>
        <w:rPr>
          <w:rFonts w:cstheme="minorHAnsi"/>
        </w:rPr>
        <w:t>À</w:t>
      </w:r>
      <w:r>
        <w:t xml:space="preserve"> l’issue de cette période, le document sera automatiquement mis en ligne</w:t>
      </w:r>
      <w:r w:rsidR="00FD61E9">
        <w:t>.</w:t>
      </w:r>
    </w:p>
    <w:p w:rsidR="00532BB0" w:rsidRPr="00C94B0B" w:rsidRDefault="00532BB0" w:rsidP="00532BB0">
      <w:pPr>
        <w:rPr>
          <w:color w:val="00B050"/>
        </w:rPr>
      </w:pPr>
      <w:r>
        <w:t xml:space="preserve">La non-diffusion (immédiate ou définitive) n’empêche pas l’obligation de diffusion de la thèse au sein de la communauté universitaire. Il est donc demandé aux doctorants qui refusent la mise en ligne </w:t>
      </w:r>
      <w:r w:rsidR="00C94B0B" w:rsidRPr="00FD61E9">
        <w:t>immédiate</w:t>
      </w:r>
      <w:r w:rsidR="00C94B0B" w:rsidRPr="00C94B0B">
        <w:rPr>
          <w:color w:val="00B050"/>
        </w:rPr>
        <w:t xml:space="preserve"> </w:t>
      </w:r>
      <w:r>
        <w:t xml:space="preserve">de leur thèse (y compris avec embargo) de fournir </w:t>
      </w:r>
      <w:r w:rsidRPr="00532BB0">
        <w:rPr>
          <w:b/>
        </w:rPr>
        <w:t>un exemplaire papier remis lors du rendez-vous avec la Bibliothèque</w:t>
      </w:r>
      <w:r>
        <w:t>. Il sera utilisé pour la consultation sur place ou le Prêt entre bibliothèque.</w:t>
      </w:r>
      <w:r w:rsidR="00C94B0B">
        <w:t xml:space="preserve"> </w:t>
      </w:r>
      <w:r w:rsidR="00C94B0B" w:rsidRPr="00FD61E9">
        <w:t>Cet exemplaire peut être envoyé ou transmis par un tiers quand le R</w:t>
      </w:r>
      <w:r w:rsidR="00EE25F2">
        <w:t xml:space="preserve">endez-vous </w:t>
      </w:r>
      <w:r w:rsidR="00C94B0B" w:rsidRPr="00FD61E9">
        <w:t>B</w:t>
      </w:r>
      <w:r w:rsidR="00CA3E26">
        <w:t>ibliothèque</w:t>
      </w:r>
      <w:r w:rsidR="00C94B0B" w:rsidRPr="00FD61E9">
        <w:t xml:space="preserve"> s’est fait à distance.</w:t>
      </w:r>
    </w:p>
    <w:p w:rsidR="00C94B0B" w:rsidRPr="00FD61E9" w:rsidRDefault="00C94B0B" w:rsidP="00C94B0B">
      <w:r w:rsidRPr="00FD61E9">
        <w:t xml:space="preserve">Si la thèse contient des œuvres pour lesquelles le doctorant n’a pas obtenu les droits et que ces œuvres dépassent le cadre de l’exception pédagogique*, il peut déposer dans </w:t>
      </w:r>
      <w:proofErr w:type="spellStart"/>
      <w:r w:rsidRPr="00FD61E9">
        <w:t>SyGAL</w:t>
      </w:r>
      <w:proofErr w:type="spellEnd"/>
      <w:r w:rsidRPr="00FD61E9">
        <w:t xml:space="preserve"> une version de diffusion exempte de ces œuvres.  </w:t>
      </w:r>
    </w:p>
    <w:p w:rsidR="00C94B0B" w:rsidRDefault="00C94B0B" w:rsidP="00532BB0"/>
    <w:p w:rsidR="00532BB0" w:rsidRDefault="00532BB0" w:rsidP="00532BB0">
      <w:pPr>
        <w:rPr>
          <w:iCs/>
          <w:sz w:val="20"/>
          <w:szCs w:val="20"/>
        </w:rPr>
      </w:pPr>
      <w:r w:rsidRPr="00532BB0">
        <w:rPr>
          <w:sz w:val="20"/>
          <w:szCs w:val="20"/>
        </w:rPr>
        <w:t xml:space="preserve">* L’exception pédagogique est encadrée par un </w:t>
      </w:r>
      <w:hyperlink r:id="rId13" w:history="1">
        <w:r w:rsidR="00EA732B">
          <w:rPr>
            <w:rStyle w:val="Lienhypertexte"/>
            <w:sz w:val="20"/>
            <w:szCs w:val="20"/>
          </w:rPr>
          <w:t>protocole d'accord</w:t>
        </w:r>
      </w:hyperlink>
      <w:r w:rsidR="00EA732B" w:rsidRPr="00EA732B">
        <w:rPr>
          <w:sz w:val="20"/>
          <w:szCs w:val="20"/>
        </w:rPr>
        <w:t xml:space="preserve"> </w:t>
      </w:r>
      <w:r w:rsidR="00EA732B" w:rsidRPr="00532BB0">
        <w:rPr>
          <w:sz w:val="20"/>
          <w:szCs w:val="20"/>
        </w:rPr>
        <w:t xml:space="preserve">de 2016 </w:t>
      </w:r>
      <w:r w:rsidRPr="00532BB0">
        <w:rPr>
          <w:sz w:val="20"/>
          <w:szCs w:val="20"/>
        </w:rPr>
        <w:t>qui accorde notamment l’utilisation</w:t>
      </w:r>
      <w:r w:rsidR="00013EB7">
        <w:rPr>
          <w:sz w:val="20"/>
          <w:szCs w:val="20"/>
        </w:rPr>
        <w:t>,</w:t>
      </w:r>
      <w:r w:rsidRPr="00532BB0">
        <w:rPr>
          <w:sz w:val="20"/>
          <w:szCs w:val="20"/>
        </w:rPr>
        <w:t xml:space="preserve"> dans le cadre d’une </w:t>
      </w:r>
      <w:proofErr w:type="gramStart"/>
      <w:r w:rsidRPr="00532BB0">
        <w:rPr>
          <w:sz w:val="20"/>
          <w:szCs w:val="20"/>
        </w:rPr>
        <w:t xml:space="preserve">thèse </w:t>
      </w:r>
      <w:r w:rsidR="00013EB7">
        <w:rPr>
          <w:sz w:val="20"/>
          <w:szCs w:val="20"/>
        </w:rPr>
        <w:t>,</w:t>
      </w:r>
      <w:proofErr w:type="gramEnd"/>
      <w:r w:rsidR="00EE25F2">
        <w:rPr>
          <w:sz w:val="20"/>
          <w:szCs w:val="20"/>
        </w:rPr>
        <w:t xml:space="preserve"> </w:t>
      </w:r>
      <w:r w:rsidRPr="00532BB0">
        <w:rPr>
          <w:sz w:val="20"/>
          <w:szCs w:val="20"/>
        </w:rPr>
        <w:t xml:space="preserve">d’œuvres visuels sans demander d’autorisation des auteurs. Le nombre est limité à 20 œuvres qui doivent respecter deux conditions : </w:t>
      </w:r>
      <w:r w:rsidRPr="00532BB0">
        <w:rPr>
          <w:b/>
          <w:bCs/>
          <w:i/>
          <w:iCs/>
          <w:sz w:val="20"/>
          <w:szCs w:val="20"/>
        </w:rPr>
        <w:t>définition limitée à 400 x 400 pixels et une résolution limitée à 72 DPI</w:t>
      </w:r>
      <w:r w:rsidRPr="00532BB0">
        <w:rPr>
          <w:i/>
          <w:iCs/>
          <w:sz w:val="20"/>
          <w:szCs w:val="20"/>
        </w:rPr>
        <w:t xml:space="preserve">. </w:t>
      </w:r>
      <w:r w:rsidRPr="00532BB0">
        <w:rPr>
          <w:iCs/>
          <w:sz w:val="20"/>
          <w:szCs w:val="20"/>
        </w:rPr>
        <w:t>Dans un cadre non commercial, ces accords précisent également qu’il est possible de diffuser en ligne la thèse contenant ces œuvres.</w:t>
      </w:r>
    </w:p>
    <w:p w:rsidR="00C3576C" w:rsidRDefault="00C3576C" w:rsidP="00F44BFA">
      <w:pPr>
        <w:rPr>
          <w:b/>
        </w:rPr>
      </w:pPr>
    </w:p>
    <w:p w:rsidR="00CA3E26" w:rsidRDefault="00CA3E26" w:rsidP="00F44BFA">
      <w:pPr>
        <w:rPr>
          <w:b/>
        </w:rPr>
      </w:pPr>
    </w:p>
    <w:p w:rsidR="00F44BFA" w:rsidRDefault="00F44BFA" w:rsidP="00F44BFA">
      <w:pPr>
        <w:rPr>
          <w:b/>
        </w:rPr>
      </w:pPr>
      <w:r w:rsidRPr="00532BB0">
        <w:rPr>
          <w:b/>
        </w:rPr>
        <w:t>Lien</w:t>
      </w:r>
      <w:r>
        <w:rPr>
          <w:b/>
        </w:rPr>
        <w:t>s</w:t>
      </w:r>
      <w:r w:rsidRPr="00532BB0">
        <w:rPr>
          <w:b/>
        </w:rPr>
        <w:t> :</w:t>
      </w:r>
    </w:p>
    <w:p w:rsidR="009C255A" w:rsidRPr="009C255A" w:rsidRDefault="009C255A" w:rsidP="00F44BFA">
      <w:pPr>
        <w:rPr>
          <w:i/>
        </w:rPr>
      </w:pPr>
      <w:r w:rsidRPr="009C255A">
        <w:t xml:space="preserve">Guide du doctorant </w:t>
      </w:r>
      <w:r w:rsidRPr="009C255A">
        <w:rPr>
          <w:i/>
        </w:rPr>
        <w:t>(en PJ)</w:t>
      </w:r>
    </w:p>
    <w:p w:rsidR="00C3576C" w:rsidRDefault="00C3576C" w:rsidP="00F44BFA">
      <w:pPr>
        <w:rPr>
          <w:i/>
        </w:rPr>
      </w:pPr>
      <w:r w:rsidRPr="009C255A">
        <w:t xml:space="preserve">Charte de dépôt et de diffusion </w:t>
      </w:r>
      <w:r w:rsidR="00B76253" w:rsidRPr="009C255A">
        <w:rPr>
          <w:i/>
        </w:rPr>
        <w:t>(en PJ)</w:t>
      </w:r>
      <w:bookmarkStart w:id="0" w:name="_GoBack"/>
      <w:bookmarkEnd w:id="0"/>
    </w:p>
    <w:p w:rsidR="00B76253" w:rsidRPr="009C255A" w:rsidRDefault="00B76253" w:rsidP="00F44BFA">
      <w:r>
        <w:t xml:space="preserve">Convention de mise en ligne </w:t>
      </w:r>
      <w:r w:rsidRPr="009C255A">
        <w:rPr>
          <w:i/>
        </w:rPr>
        <w:t>(en PJ)</w:t>
      </w:r>
    </w:p>
    <w:p w:rsidR="009C255A" w:rsidRPr="009C255A" w:rsidRDefault="009C255A" w:rsidP="00F44BFA">
      <w:r w:rsidRPr="009C255A">
        <w:t xml:space="preserve">Guide du droit d’auteur </w:t>
      </w:r>
      <w:r w:rsidRPr="009C255A">
        <w:rPr>
          <w:i/>
        </w:rPr>
        <w:t>(en PJ)</w:t>
      </w:r>
    </w:p>
    <w:p w:rsidR="00CA3E26" w:rsidRDefault="00CA3E26" w:rsidP="00532BB0">
      <w:r w:rsidRPr="00CA3E26">
        <w:rPr>
          <w:b/>
        </w:rPr>
        <w:t>Contact</w:t>
      </w:r>
      <w:r>
        <w:t xml:space="preserve"> : </w:t>
      </w:r>
    </w:p>
    <w:p w:rsidR="00F44BFA" w:rsidRDefault="00CA3E26" w:rsidP="00532BB0">
      <w:proofErr w:type="gramStart"/>
      <w:r>
        <w:t>pour</w:t>
      </w:r>
      <w:proofErr w:type="gramEnd"/>
      <w:r>
        <w:t xml:space="preserve"> le </w:t>
      </w:r>
      <w:r w:rsidR="00B71BA3">
        <w:t>Rendez-vous B</w:t>
      </w:r>
      <w:r>
        <w:t>ibliothèque : marie.briandy@insa-rouen.fr</w:t>
      </w:r>
    </w:p>
    <w:sectPr w:rsidR="00F44BFA" w:rsidSect="00532BB0">
      <w:pgSz w:w="16838" w:h="11906" w:orient="landscape"/>
      <w:pgMar w:top="1417" w:right="4505" w:bottom="1417" w:left="709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F26"/>
    <w:multiLevelType w:val="hybridMultilevel"/>
    <w:tmpl w:val="4CA497A0"/>
    <w:lvl w:ilvl="0" w:tplc="9AFAD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46F6"/>
    <w:multiLevelType w:val="hybridMultilevel"/>
    <w:tmpl w:val="DF8A5822"/>
    <w:lvl w:ilvl="0" w:tplc="E73A1D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C20"/>
    <w:multiLevelType w:val="multilevel"/>
    <w:tmpl w:val="32CC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315C0"/>
    <w:multiLevelType w:val="hybridMultilevel"/>
    <w:tmpl w:val="A53C75FA"/>
    <w:lvl w:ilvl="0" w:tplc="3EFA6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97C50"/>
    <w:multiLevelType w:val="hybridMultilevel"/>
    <w:tmpl w:val="2376A87E"/>
    <w:lvl w:ilvl="0" w:tplc="F2DA3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B0"/>
    <w:rsid w:val="00006EBF"/>
    <w:rsid w:val="00013EB7"/>
    <w:rsid w:val="0009632C"/>
    <w:rsid w:val="000A503E"/>
    <w:rsid w:val="00105294"/>
    <w:rsid w:val="001353A3"/>
    <w:rsid w:val="0021649D"/>
    <w:rsid w:val="00273BFB"/>
    <w:rsid w:val="00341A88"/>
    <w:rsid w:val="003B77C1"/>
    <w:rsid w:val="0041783D"/>
    <w:rsid w:val="0047381F"/>
    <w:rsid w:val="004E50D0"/>
    <w:rsid w:val="004E7229"/>
    <w:rsid w:val="00532BB0"/>
    <w:rsid w:val="007A3ECB"/>
    <w:rsid w:val="008737C8"/>
    <w:rsid w:val="009C255A"/>
    <w:rsid w:val="009E65A2"/>
    <w:rsid w:val="00B71BA3"/>
    <w:rsid w:val="00B76253"/>
    <w:rsid w:val="00C3576C"/>
    <w:rsid w:val="00C94B0B"/>
    <w:rsid w:val="00CA3E26"/>
    <w:rsid w:val="00D22981"/>
    <w:rsid w:val="00D47C7D"/>
    <w:rsid w:val="00DC2740"/>
    <w:rsid w:val="00EA732B"/>
    <w:rsid w:val="00EA7B23"/>
    <w:rsid w:val="00EE25F2"/>
    <w:rsid w:val="00EE614C"/>
    <w:rsid w:val="00F44BFA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5BE4"/>
  <w15:docId w15:val="{940F2E01-F677-4F37-9B3A-E430709E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B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32BB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41A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1A8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7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ue.insa-rouen.fr/" TargetMode="External"/><Relationship Id="rId13" Type="http://schemas.openxmlformats.org/officeDocument/2006/relationships/hyperlink" Target="https://www.education.gouv.fr/pid285/bulletin_officiel.html?cid_bo=106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gal.normandie-univ.fr/" TargetMode="External"/><Relationship Id="rId12" Type="http://schemas.openxmlformats.org/officeDocument/2006/relationships/hyperlink" Target="https://hal-normandie-univ.archives-ouvertes.fr/THESES-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gal.normandie-univ.fr/" TargetMode="External"/><Relationship Id="rId11" Type="http://schemas.openxmlformats.org/officeDocument/2006/relationships/hyperlink" Target="https://tel.archives-ouvertes.fr" TargetMode="External"/><Relationship Id="rId5" Type="http://schemas.openxmlformats.org/officeDocument/2006/relationships/hyperlink" Target="https://www.legifrance.gouv.fr/loda/id/JORFTEXT000032587086/2020-10-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hes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doc.abes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ROUEN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BOILEAU</dc:creator>
  <cp:lastModifiedBy>Marie Briandy</cp:lastModifiedBy>
  <cp:revision>3</cp:revision>
  <dcterms:created xsi:type="dcterms:W3CDTF">2020-10-22T13:54:00Z</dcterms:created>
  <dcterms:modified xsi:type="dcterms:W3CDTF">2020-10-22T14:22:00Z</dcterms:modified>
</cp:coreProperties>
</file>